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39B7" w14:textId="0041CF60" w:rsidR="00AF2438" w:rsidRPr="0039264A" w:rsidRDefault="006535F4" w:rsidP="002D353B">
      <w:pPr>
        <w:spacing w:after="240"/>
        <w:jc w:val="center"/>
        <w:rPr>
          <w:b/>
          <w:bCs/>
          <w:i/>
          <w:iCs/>
        </w:rPr>
      </w:pPr>
      <w:r w:rsidRPr="0039264A">
        <w:rPr>
          <w:b/>
          <w:bCs/>
          <w:i/>
          <w:iCs/>
          <w:noProof/>
          <w:sz w:val="28"/>
          <w:szCs w:val="28"/>
          <w:lang w:eastAsia="fr-FR"/>
        </w:rPr>
        <mc:AlternateContent>
          <mc:Choice Requires="wps">
            <w:drawing>
              <wp:anchor distT="0" distB="0" distL="114300" distR="114300" simplePos="0" relativeHeight="251653120" behindDoc="0" locked="0" layoutInCell="1" allowOverlap="1" wp14:anchorId="377D966C" wp14:editId="680070D1">
                <wp:simplePos x="0" y="0"/>
                <wp:positionH relativeFrom="margin">
                  <wp:align>center</wp:align>
                </wp:positionH>
                <wp:positionV relativeFrom="paragraph">
                  <wp:posOffset>-534975</wp:posOffset>
                </wp:positionV>
                <wp:extent cx="2816225" cy="542925"/>
                <wp:effectExtent l="0" t="0" r="3175" b="9525"/>
                <wp:wrapNone/>
                <wp:docPr id="1" name="Rectangle 1"/>
                <wp:cNvGraphicFramePr/>
                <a:graphic xmlns:a="http://schemas.openxmlformats.org/drawingml/2006/main">
                  <a:graphicData uri="http://schemas.microsoft.com/office/word/2010/wordprocessingShape">
                    <wps:wsp>
                      <wps:cNvSpPr/>
                      <wps:spPr>
                        <a:xfrm>
                          <a:off x="0" y="0"/>
                          <a:ext cx="2816225" cy="542925"/>
                        </a:xfrm>
                        <a:prstGeom prst="rect">
                          <a:avLst/>
                        </a:prstGeom>
                        <a:ln>
                          <a:noFill/>
                          <a:prstDash val="dash"/>
                        </a:ln>
                      </wps:spPr>
                      <wps:style>
                        <a:lnRef idx="2">
                          <a:schemeClr val="dk1"/>
                        </a:lnRef>
                        <a:fillRef idx="1">
                          <a:schemeClr val="lt1"/>
                        </a:fillRef>
                        <a:effectRef idx="0">
                          <a:schemeClr val="dk1"/>
                        </a:effectRef>
                        <a:fontRef idx="minor">
                          <a:schemeClr val="dk1"/>
                        </a:fontRef>
                      </wps:style>
                      <wps:txb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966C" id="Rectangle 1" o:spid="_x0000_s1026" style="position:absolute;left:0;text-align:left;margin-left:0;margin-top:-42.1pt;width:221.75pt;height:4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" fillcolor="white [3201]" stroked="f" strokeweight="1pt">
                <v:stroke dashstyle="dash"/>
                <v:textbo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v:textbox>
                <w10:wrap anchorx="margin"/>
              </v:rect>
            </w:pict>
          </mc:Fallback>
        </mc:AlternateContent>
      </w:r>
      <w:r w:rsidR="00F008CD" w:rsidRPr="0039264A">
        <w:rPr>
          <w:b/>
          <w:bCs/>
          <w:i/>
          <w:iCs/>
          <w:sz w:val="28"/>
          <w:szCs w:val="28"/>
        </w:rPr>
        <w:t>Bulletin d’information des salarié</w:t>
      </w:r>
      <w:r w:rsidR="00153102">
        <w:rPr>
          <w:b/>
          <w:bCs/>
          <w:i/>
          <w:iCs/>
          <w:sz w:val="28"/>
          <w:szCs w:val="28"/>
        </w:rPr>
        <w:t>-e-</w:t>
      </w:r>
      <w:r w:rsidR="00F008CD" w:rsidRPr="0039264A">
        <w:rPr>
          <w:b/>
          <w:bCs/>
          <w:i/>
          <w:iCs/>
          <w:sz w:val="28"/>
          <w:szCs w:val="28"/>
        </w:rPr>
        <w:t>s des cabinets d’avocats n°</w:t>
      </w:r>
      <w:bookmarkStart w:id="0" w:name="_Hlk33717198"/>
      <w:r w:rsidR="001216B2">
        <w:rPr>
          <w:b/>
          <w:bCs/>
          <w:i/>
          <w:iCs/>
          <w:sz w:val="28"/>
          <w:szCs w:val="28"/>
        </w:rPr>
        <w:t>34</w:t>
      </w:r>
      <w:r w:rsidR="002A741E">
        <w:rPr>
          <w:b/>
          <w:bCs/>
          <w:i/>
          <w:iCs/>
          <w:sz w:val="28"/>
          <w:szCs w:val="28"/>
        </w:rPr>
        <w:t>7</w:t>
      </w:r>
    </w:p>
    <w:bookmarkEnd w:id="0"/>
    <w:p w14:paraId="45D92C19" w14:textId="77777777" w:rsidR="009A7FD4" w:rsidRDefault="009A7FD4" w:rsidP="005804A8">
      <w:pPr>
        <w:rPr>
          <w:rFonts w:ascii="Times New Roman" w:hAnsi="Times New Roman"/>
        </w:rPr>
      </w:pPr>
    </w:p>
    <w:p w14:paraId="20D023F7" w14:textId="3688A5DC" w:rsidR="002A741E" w:rsidRPr="00E82099" w:rsidRDefault="002A741E" w:rsidP="002A741E">
      <w:pPr>
        <w:jc w:val="center"/>
        <w:rPr>
          <w:rFonts w:ascii="Times New Roman" w:hAnsi="Times New Roman"/>
          <w:b/>
          <w:bCs/>
          <w:sz w:val="24"/>
          <w:szCs w:val="24"/>
        </w:rPr>
      </w:pPr>
      <w:r w:rsidRPr="00E82099">
        <w:rPr>
          <w:rFonts w:ascii="Times New Roman" w:hAnsi="Times New Roman"/>
          <w:b/>
          <w:bCs/>
          <w:sz w:val="24"/>
          <w:szCs w:val="24"/>
        </w:rPr>
        <w:t>La négociation</w:t>
      </w:r>
      <w:r w:rsidR="00E82099" w:rsidRPr="00E82099">
        <w:rPr>
          <w:rFonts w:ascii="Times New Roman" w:hAnsi="Times New Roman"/>
          <w:b/>
          <w:bCs/>
          <w:sz w:val="24"/>
          <w:szCs w:val="24"/>
        </w:rPr>
        <w:t xml:space="preserve"> des minima conventionnels</w:t>
      </w:r>
      <w:r w:rsidRPr="00E82099">
        <w:rPr>
          <w:rFonts w:ascii="Times New Roman" w:hAnsi="Times New Roman"/>
          <w:b/>
          <w:bCs/>
          <w:sz w:val="24"/>
          <w:szCs w:val="24"/>
        </w:rPr>
        <w:t xml:space="preserve"> au sein des cabinets d’avocats, digne d’Un jour sans fin !</w:t>
      </w:r>
    </w:p>
    <w:p w14:paraId="07178C44" w14:textId="77777777" w:rsidR="004C7626" w:rsidRDefault="004C7626" w:rsidP="005804A8">
      <w:pPr>
        <w:rPr>
          <w:rFonts w:ascii="Times New Roman" w:hAnsi="Times New Roman"/>
        </w:rPr>
      </w:pPr>
    </w:p>
    <w:p w14:paraId="6CBFEE10" w14:textId="77777777" w:rsidR="002A741E" w:rsidRDefault="001216B2" w:rsidP="00E82099">
      <w:pPr>
        <w:jc w:val="both"/>
        <w:rPr>
          <w:rFonts w:ascii="Times New Roman" w:hAnsi="Times New Roman"/>
        </w:rPr>
      </w:pPr>
      <w:r>
        <w:rPr>
          <w:rFonts w:ascii="Times New Roman" w:hAnsi="Times New Roman"/>
        </w:rPr>
        <w:t xml:space="preserve">La Commission Paritaire Permanente de Négociation d’Interprétation et de conciliation de la branche des salarié.es des cabinets d’avocats qui s’est tenue le </w:t>
      </w:r>
      <w:r w:rsidR="00DB24BB">
        <w:rPr>
          <w:rFonts w:ascii="Times New Roman" w:hAnsi="Times New Roman"/>
        </w:rPr>
        <w:t>20</w:t>
      </w:r>
      <w:r>
        <w:rPr>
          <w:rFonts w:ascii="Times New Roman" w:hAnsi="Times New Roman"/>
        </w:rPr>
        <w:t xml:space="preserve"> </w:t>
      </w:r>
      <w:r w:rsidR="002A741E">
        <w:rPr>
          <w:rFonts w:ascii="Times New Roman" w:hAnsi="Times New Roman"/>
        </w:rPr>
        <w:t xml:space="preserve">mars 2026 a surtout porté sur les minima conventionnels et sur la constitution de la </w:t>
      </w:r>
      <w:r w:rsidR="002A741E" w:rsidRPr="005B1CD2">
        <w:rPr>
          <w:rFonts w:ascii="Times New Roman" w:hAnsi="Times New Roman"/>
        </w:rPr>
        <w:t>commission spécifique (CPS)</w:t>
      </w:r>
      <w:r w:rsidR="002A741E">
        <w:rPr>
          <w:rFonts w:ascii="Times New Roman" w:hAnsi="Times New Roman"/>
        </w:rPr>
        <w:t>.</w:t>
      </w:r>
    </w:p>
    <w:p w14:paraId="784F1200" w14:textId="16AC93C1" w:rsidR="00DB24BB" w:rsidRPr="002A741E" w:rsidRDefault="002A741E" w:rsidP="00E82099">
      <w:pPr>
        <w:jc w:val="both"/>
        <w:rPr>
          <w:rFonts w:ascii="Times New Roman" w:hAnsi="Times New Roman"/>
        </w:rPr>
      </w:pPr>
      <w:r w:rsidRPr="002A741E">
        <w:rPr>
          <w:rFonts w:ascii="Times New Roman" w:hAnsi="Times New Roman"/>
        </w:rPr>
        <w:t>Pour rappel, le patronat avait décidé en février de mettre à signature un accord refusé d’emblée par toutes les organisations syndicales tant le niveau d’augmentation des minima conventionnels était faible et ne faisait qu’entériner une baisse du pouvoir d’achat.</w:t>
      </w:r>
    </w:p>
    <w:p w14:paraId="088F6FCB" w14:textId="206F9E29" w:rsidR="002A741E" w:rsidRDefault="002A741E" w:rsidP="00E82099">
      <w:pPr>
        <w:jc w:val="both"/>
        <w:rPr>
          <w:rFonts w:ascii="Times New Roman" w:hAnsi="Times New Roman"/>
        </w:rPr>
      </w:pPr>
      <w:r>
        <w:rPr>
          <w:rFonts w:ascii="Times New Roman" w:hAnsi="Times New Roman"/>
        </w:rPr>
        <w:t>En conséquence, seule une partie du patronat a signé cet accord</w:t>
      </w:r>
      <w:r w:rsidR="00E82099">
        <w:rPr>
          <w:rFonts w:ascii="Times New Roman" w:hAnsi="Times New Roman"/>
        </w:rPr>
        <w:t xml:space="preserve">, l’autre partie considérant probablement que mal rémunérer les salarié.es, c’était déjà beaucoup trop demander. Ces représentants oublient probablement que dans les cabinets, il y a besoin de salarié.es pour que le travail soit effectué et qu’il ne s’agit pas là d’une aumône. </w:t>
      </w:r>
    </w:p>
    <w:p w14:paraId="01BC2C9D" w14:textId="1CBDE9BB" w:rsidR="00E82099" w:rsidRDefault="00E82099" w:rsidP="00E82099">
      <w:pPr>
        <w:jc w:val="both"/>
        <w:rPr>
          <w:rFonts w:ascii="Times New Roman" w:hAnsi="Times New Roman"/>
        </w:rPr>
      </w:pPr>
      <w:r>
        <w:rPr>
          <w:rFonts w:ascii="Times New Roman" w:hAnsi="Times New Roman"/>
        </w:rPr>
        <w:t>Les organisations syndicales ayant décidé de travailler en intersyndicale sur ce sujet, la demande collective est de 1,5%.</w:t>
      </w:r>
    </w:p>
    <w:p w14:paraId="6190449F" w14:textId="74936418" w:rsidR="00E82099" w:rsidRPr="002A741E" w:rsidRDefault="00E82099" w:rsidP="00E82099">
      <w:pPr>
        <w:jc w:val="both"/>
        <w:rPr>
          <w:rFonts w:ascii="Times New Roman" w:hAnsi="Times New Roman"/>
        </w:rPr>
      </w:pPr>
      <w:r>
        <w:rPr>
          <w:rFonts w:ascii="Times New Roman" w:hAnsi="Times New Roman"/>
        </w:rPr>
        <w:t xml:space="preserve">Refus du patronat qui ne propose rien d’autre que d’entériner le désaccord. Ce qui n’ira pas de soi, la CGT refusant de rendre les armes sur un sujet aussi important pour les </w:t>
      </w:r>
      <w:proofErr w:type="spellStart"/>
      <w:r>
        <w:rPr>
          <w:rFonts w:ascii="Times New Roman" w:hAnsi="Times New Roman"/>
        </w:rPr>
        <w:t>travailleur.ses</w:t>
      </w:r>
      <w:proofErr w:type="spellEnd"/>
      <w:r>
        <w:rPr>
          <w:rFonts w:ascii="Times New Roman" w:hAnsi="Times New Roman"/>
        </w:rPr>
        <w:t>, après une forte période inflationniste qui a conduit à une baisse réelle des salaires alors que les prix ne sont jamais revenus au niveau ante- crise inflationniste.</w:t>
      </w:r>
    </w:p>
    <w:p w14:paraId="7891AAD4" w14:textId="302B481B" w:rsidR="004C7626" w:rsidRDefault="00E82099" w:rsidP="00E82099">
      <w:pPr>
        <w:jc w:val="both"/>
        <w:rPr>
          <w:rFonts w:ascii="Times New Roman" w:hAnsi="Times New Roman"/>
        </w:rPr>
      </w:pPr>
      <w:r>
        <w:rPr>
          <w:rFonts w:ascii="Times New Roman" w:hAnsi="Times New Roman"/>
        </w:rPr>
        <w:t xml:space="preserve">Sur les sujets de prévoyance et de retraite, la réunion a pour beaucoup </w:t>
      </w:r>
      <w:proofErr w:type="gramStart"/>
      <w:r>
        <w:rPr>
          <w:rFonts w:ascii="Times New Roman" w:hAnsi="Times New Roman"/>
        </w:rPr>
        <w:t>porté</w:t>
      </w:r>
      <w:proofErr w:type="gramEnd"/>
      <w:r>
        <w:rPr>
          <w:rFonts w:ascii="Times New Roman" w:hAnsi="Times New Roman"/>
        </w:rPr>
        <w:t xml:space="preserve"> sur la question de la structuration de la commission de suivi, de sa composition et de son fonctionnement.</w:t>
      </w:r>
    </w:p>
    <w:p w14:paraId="6D7F0C99" w14:textId="4E025926" w:rsidR="00E82099" w:rsidRDefault="00E82099" w:rsidP="00E82099">
      <w:pPr>
        <w:jc w:val="both"/>
        <w:rPr>
          <w:rFonts w:ascii="Times New Roman" w:hAnsi="Times New Roman"/>
        </w:rPr>
      </w:pPr>
      <w:r>
        <w:rPr>
          <w:rFonts w:ascii="Times New Roman" w:hAnsi="Times New Roman"/>
        </w:rPr>
        <w:t>Parallèlement de nombreux échanges ont eu lieu concernant la demande à adresser par l’instance aux actuaires. Un actuaire est un</w:t>
      </w:r>
      <w:r w:rsidRPr="00E82099">
        <w:rPr>
          <w:rFonts w:ascii="Times New Roman" w:hAnsi="Times New Roman"/>
        </w:rPr>
        <w:t xml:space="preserve"> statisticien, formé à l'assurance, spécialis</w:t>
      </w:r>
      <w:r>
        <w:rPr>
          <w:rFonts w:ascii="Times New Roman" w:hAnsi="Times New Roman"/>
        </w:rPr>
        <w:t xml:space="preserve">é dans </w:t>
      </w:r>
      <w:r w:rsidRPr="00E82099">
        <w:rPr>
          <w:rFonts w:ascii="Times New Roman" w:hAnsi="Times New Roman"/>
        </w:rPr>
        <w:t xml:space="preserve">l'évaluation des risques, notamment financiers. Les actuaires combinent expertises mathématiques, statistiques </w:t>
      </w:r>
      <w:r>
        <w:rPr>
          <w:rFonts w:ascii="Times New Roman" w:hAnsi="Times New Roman"/>
        </w:rPr>
        <w:t>intégrant l</w:t>
      </w:r>
      <w:r w:rsidRPr="00E82099">
        <w:rPr>
          <w:rFonts w:ascii="Times New Roman" w:hAnsi="Times New Roman"/>
        </w:rPr>
        <w:t>es enjeux économiques et réglementaires.</w:t>
      </w:r>
    </w:p>
    <w:p w14:paraId="141C6B19" w14:textId="09EFA010" w:rsidR="00E82099" w:rsidRDefault="00E82099" w:rsidP="00E82099">
      <w:pPr>
        <w:jc w:val="both"/>
        <w:rPr>
          <w:rFonts w:ascii="Times New Roman" w:hAnsi="Times New Roman"/>
        </w:rPr>
      </w:pPr>
      <w:r>
        <w:rPr>
          <w:rFonts w:ascii="Times New Roman" w:hAnsi="Times New Roman"/>
        </w:rPr>
        <w:t>La demande qui leur adressée est en effet déterminante pour disposer de la bonne compréhension de la situation des salarié.es et accompagner le pilotage des régimes de branche, de la retraite supplémentaire et de l’IFC dans le temps.</w:t>
      </w:r>
    </w:p>
    <w:p w14:paraId="6270CEE4" w14:textId="77777777" w:rsidR="00E82099" w:rsidRDefault="00E82099" w:rsidP="00E82099">
      <w:pPr>
        <w:jc w:val="both"/>
        <w:rPr>
          <w:rFonts w:ascii="Times New Roman" w:hAnsi="Times New Roman"/>
        </w:rPr>
      </w:pPr>
      <w:r>
        <w:rPr>
          <w:rFonts w:ascii="Times New Roman" w:hAnsi="Times New Roman"/>
        </w:rPr>
        <w:t xml:space="preserve">Sur ce sujet comme sur le reste, la CGT demeure vigilante pour assurer la pérennité des droits des salarié.es dans le temps et a pu se féliciter de voir ses choix aboutir afin d’être assurés que ce travail sera mené dans les meilleures conditions. </w:t>
      </w:r>
    </w:p>
    <w:sectPr w:rsidR="00E82099" w:rsidSect="00E82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0"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BB3A" w14:textId="77777777" w:rsidR="001216B2" w:rsidRDefault="001216B2" w:rsidP="00840064">
      <w:pPr>
        <w:spacing w:after="0" w:line="240" w:lineRule="auto"/>
      </w:pPr>
      <w:r>
        <w:separator/>
      </w:r>
    </w:p>
  </w:endnote>
  <w:endnote w:type="continuationSeparator" w:id="0">
    <w:p w14:paraId="472C256B" w14:textId="77777777" w:rsidR="001216B2" w:rsidRDefault="001216B2" w:rsidP="0084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Heavy">
    <w:altName w:val="Arial Black"/>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972" w14:textId="77777777" w:rsidR="001F55C8" w:rsidRDefault="001F5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75A" w14:textId="77777777" w:rsidR="00477732" w:rsidRPr="00477732" w:rsidRDefault="00477732" w:rsidP="00AF57E4">
    <w:pPr>
      <w:spacing w:before="360" w:after="240" w:line="240" w:lineRule="auto"/>
      <w:jc w:val="center"/>
    </w:pPr>
    <w:bookmarkStart w:id="1" w:name="_Hlk32483534"/>
    <w:bookmarkStart w:id="2" w:name="_Hlk32483535"/>
    <w:r>
      <w:rPr>
        <w:noProof/>
      </w:rPr>
      <mc:AlternateContent>
        <mc:Choice Requires="wps">
          <w:drawing>
            <wp:inline distT="0" distB="0" distL="0" distR="0" wp14:anchorId="0FE246F0" wp14:editId="76C82B3E">
              <wp:extent cx="4735830" cy="517525"/>
              <wp:effectExtent l="0" t="0" r="26670" b="15875"/>
              <wp:docPr id="4" name="Rectangle : coins arrondis 4"/>
              <wp:cNvGraphicFramePr/>
              <a:graphic xmlns:a="http://schemas.openxmlformats.org/drawingml/2006/main">
                <a:graphicData uri="http://schemas.microsoft.com/office/word/2010/wordprocessingShape">
                  <wps:wsp>
                    <wps:cNvSpPr/>
                    <wps:spPr>
                      <a:xfrm>
                        <a:off x="0" y="0"/>
                        <a:ext cx="4735830" cy="517525"/>
                      </a:xfrm>
                      <a:prstGeom prst="roundRect">
                        <a:avLst/>
                      </a:prstGeom>
                      <a:ln>
                        <a:solidFill>
                          <a:srgbClr val="FF0000"/>
                        </a:solidFill>
                      </a:ln>
                    </wps:spPr>
                    <wps:style>
                      <a:lnRef idx="1">
                        <a:schemeClr val="accent5"/>
                      </a:lnRef>
                      <a:fillRef idx="2">
                        <a:schemeClr val="accent5"/>
                      </a:fillRef>
                      <a:effectRef idx="1">
                        <a:schemeClr val="accent5"/>
                      </a:effectRef>
                      <a:fontRef idx="minor">
                        <a:schemeClr val="dk1"/>
                      </a:fontRef>
                    </wps:style>
                    <wps:txb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1"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E246F0" id="Rectangle : coins arrondis 4" o:spid="_x0000_s1027" style="width:372.9pt;height:4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" fillcolor="#91bce3 [2168]" strokecolor="red" strokeweight=".5pt">
              <v:fill color2="#7aaddd [2616]" rotate="t" colors="0 #b1cbe9;.5 #a3c1e5;1 #92b9e4" focus="100%" type="gradient">
                <o:fill v:ext="view" type="gradientUnscaled"/>
              </v:fill>
              <v:stroke joinstyle="miter"/>
              <v:textbo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2"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v:textbox>
              <w10:anchorlock/>
            </v:roundrect>
          </w:pict>
        </mc:Fallback>
      </mc:AlternateContent>
    </w:r>
  </w:p>
  <w:p w14:paraId="539AD94B" w14:textId="77777777" w:rsidR="009A7FD4" w:rsidRPr="00885273" w:rsidRDefault="009A7FD4" w:rsidP="00AF57E4">
    <w:pPr>
      <w:spacing w:before="60" w:after="60" w:line="240" w:lineRule="auto"/>
      <w:jc w:val="center"/>
      <w:rPr>
        <w:rFonts w:ascii="Franklin Gothic Heavy" w:hAnsi="Franklin Gothic Heavy"/>
        <w:color w:val="FF0000"/>
      </w:rPr>
    </w:pPr>
    <w:r>
      <w:rPr>
        <w:rFonts w:ascii="Franklin Gothic Heavy" w:hAnsi="Franklin Gothic Heavy"/>
        <w:color w:val="FF0000"/>
      </w:rPr>
      <w:t>F</w:t>
    </w:r>
    <w:r w:rsidRPr="00885273">
      <w:rPr>
        <w:rFonts w:ascii="Franklin Gothic Heavy" w:hAnsi="Franklin Gothic Heavy"/>
        <w:color w:val="FF0000"/>
      </w:rPr>
      <w:t>édération CGT des Sociétés d’Etudes</w:t>
    </w:r>
  </w:p>
  <w:p w14:paraId="768EE4AA" w14:textId="77777777" w:rsidR="009A7FD4" w:rsidRPr="00885273" w:rsidRDefault="009A7FD4" w:rsidP="00AF57E4">
    <w:pPr>
      <w:pStyle w:val="Pieddepage"/>
      <w:pBdr>
        <w:top w:val="single" w:sz="12" w:space="4" w:color="A6A6A6"/>
      </w:pBdr>
      <w:tabs>
        <w:tab w:val="clear" w:pos="4536"/>
      </w:tabs>
      <w:jc w:val="center"/>
      <w:rPr>
        <w:sz w:val="18"/>
        <w:szCs w:val="18"/>
      </w:rPr>
    </w:pPr>
    <w:r w:rsidRPr="00885273">
      <w:rPr>
        <w:sz w:val="18"/>
        <w:szCs w:val="18"/>
      </w:rPr>
      <w:t xml:space="preserve">Case 421 – 263, rue de Paris – 93514 MONTREUIL Cedex – Tél : 01 </w:t>
    </w:r>
    <w:r>
      <w:rPr>
        <w:sz w:val="18"/>
        <w:szCs w:val="18"/>
      </w:rPr>
      <w:t>55 82 89 41</w:t>
    </w:r>
    <w:r w:rsidRPr="00885273">
      <w:rPr>
        <w:sz w:val="18"/>
        <w:szCs w:val="18"/>
      </w:rPr>
      <w:t xml:space="preserve"> – Fax : 01 </w:t>
    </w:r>
    <w:r>
      <w:rPr>
        <w:sz w:val="18"/>
        <w:szCs w:val="18"/>
      </w:rPr>
      <w:t>55 82 89 42</w:t>
    </w:r>
  </w:p>
  <w:p w14:paraId="62E74677" w14:textId="77777777" w:rsidR="009A7FD4" w:rsidRPr="009A7FD4" w:rsidRDefault="005A59FB" w:rsidP="00AF57E4">
    <w:pPr>
      <w:tabs>
        <w:tab w:val="right" w:pos="9072"/>
      </w:tabs>
      <w:spacing w:after="0" w:line="240" w:lineRule="auto"/>
      <w:jc w:val="center"/>
      <w:rPr>
        <w:sz w:val="18"/>
        <w:szCs w:val="18"/>
      </w:rPr>
    </w:pPr>
    <w:r>
      <w:rPr>
        <w:sz w:val="18"/>
        <w:szCs w:val="18"/>
      </w:rPr>
      <w:t>Courrie</w:t>
    </w:r>
    <w:r w:rsidR="009A7FD4" w:rsidRPr="00885273">
      <w:rPr>
        <w:sz w:val="18"/>
        <w:szCs w:val="18"/>
      </w:rPr>
      <w:t>l : fsetud@cgt.fr – Site Internet : www.soc-etudes.cgt.fr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1DD7" w14:textId="77777777" w:rsidR="001F55C8" w:rsidRDefault="001F5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845" w14:textId="77777777" w:rsidR="001216B2" w:rsidRDefault="001216B2" w:rsidP="00840064">
      <w:pPr>
        <w:spacing w:after="0" w:line="240" w:lineRule="auto"/>
      </w:pPr>
      <w:r>
        <w:separator/>
      </w:r>
    </w:p>
  </w:footnote>
  <w:footnote w:type="continuationSeparator" w:id="0">
    <w:p w14:paraId="42615D9E" w14:textId="77777777" w:rsidR="001216B2" w:rsidRDefault="001216B2" w:rsidP="0084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7CE" w14:textId="77777777" w:rsidR="001F55C8" w:rsidRDefault="001F5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F91C" w14:textId="77777777" w:rsidR="009F59BF" w:rsidRDefault="00477732" w:rsidP="009F459E">
    <w:pPr>
      <w:pStyle w:val="En-tte"/>
      <w:tabs>
        <w:tab w:val="clear" w:pos="4536"/>
        <w:tab w:val="clear" w:pos="9072"/>
        <w:tab w:val="left" w:pos="714"/>
        <w:tab w:val="left" w:pos="6463"/>
      </w:tabs>
    </w:pPr>
    <w:r w:rsidRPr="0039264A">
      <w:rPr>
        <w:b/>
        <w:bCs/>
        <w:i/>
        <w:iCs/>
        <w:noProof/>
        <w:sz w:val="28"/>
        <w:szCs w:val="28"/>
        <w:lang w:eastAsia="fr-FR"/>
      </w:rPr>
      <w:drawing>
        <wp:anchor distT="0" distB="0" distL="114300" distR="114300" simplePos="0" relativeHeight="251661312" behindDoc="0" locked="0" layoutInCell="1" allowOverlap="1" wp14:anchorId="61EDB094" wp14:editId="769C0504">
          <wp:simplePos x="0" y="0"/>
          <wp:positionH relativeFrom="margin">
            <wp:posOffset>-20763</wp:posOffset>
          </wp:positionH>
          <wp:positionV relativeFrom="margin">
            <wp:posOffset>-662940</wp:posOffset>
          </wp:positionV>
          <wp:extent cx="756920" cy="845185"/>
          <wp:effectExtent l="0" t="0" r="5080" b="0"/>
          <wp:wrapNone/>
          <wp:docPr id="5" name="Image 5" descr="C:\Users\Alexie\Desktop\libertés-fondamen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C:\Users\Alexie\Desktop\libertés-fondamentale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845185"/>
                  </a:xfrm>
                  <a:prstGeom prst="rect">
                    <a:avLst/>
                  </a:prstGeom>
                  <a:noFill/>
                  <a:ln>
                    <a:noFill/>
                  </a:ln>
                </pic:spPr>
              </pic:pic>
            </a:graphicData>
          </a:graphic>
        </wp:anchor>
      </w:drawing>
    </w:r>
    <w:r w:rsidR="009A7FD4">
      <w:rPr>
        <w:b/>
        <w:noProof/>
        <w:color w:val="000090"/>
        <w:sz w:val="24"/>
        <w:szCs w:val="24"/>
        <w:lang w:eastAsia="fr-FR"/>
      </w:rPr>
      <w:drawing>
        <wp:anchor distT="0" distB="0" distL="114300" distR="114300" simplePos="0" relativeHeight="251659264" behindDoc="1" locked="0" layoutInCell="1" allowOverlap="1" wp14:anchorId="5A795B4B" wp14:editId="7CB03B5D">
          <wp:simplePos x="0" y="0"/>
          <wp:positionH relativeFrom="page">
            <wp:align>left</wp:align>
          </wp:positionH>
          <wp:positionV relativeFrom="paragraph">
            <wp:posOffset>0</wp:posOffset>
          </wp:positionV>
          <wp:extent cx="8028238" cy="1168717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èle d'appel.png"/>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8028238" cy="11687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E3D4" w14:textId="77777777" w:rsidR="001F55C8" w:rsidRDefault="001F55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0A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5AC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1C1747"/>
    <w:multiLevelType w:val="hybridMultilevel"/>
    <w:tmpl w:val="6C6C0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5F91"/>
    <w:multiLevelType w:val="hybridMultilevel"/>
    <w:tmpl w:val="0A2CB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190D62"/>
    <w:multiLevelType w:val="hybridMultilevel"/>
    <w:tmpl w:val="C8249AA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E977F0"/>
    <w:multiLevelType w:val="hybridMultilevel"/>
    <w:tmpl w:val="C19ADF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0F6123"/>
    <w:multiLevelType w:val="hybridMultilevel"/>
    <w:tmpl w:val="815C1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A14137"/>
    <w:multiLevelType w:val="hybridMultilevel"/>
    <w:tmpl w:val="08088F08"/>
    <w:lvl w:ilvl="0" w:tplc="62C0F4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16B92"/>
    <w:multiLevelType w:val="hybridMultilevel"/>
    <w:tmpl w:val="6DBAD3AE"/>
    <w:lvl w:ilvl="0" w:tplc="040C000B">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9" w15:restartNumberingAfterBreak="0">
    <w:nsid w:val="5D46A0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D04C02"/>
    <w:multiLevelType w:val="hybridMultilevel"/>
    <w:tmpl w:val="48CC387A"/>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11" w15:restartNumberingAfterBreak="0">
    <w:nsid w:val="6A726A8A"/>
    <w:multiLevelType w:val="hybridMultilevel"/>
    <w:tmpl w:val="22DE1150"/>
    <w:lvl w:ilvl="0" w:tplc="BD46E1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40D6798"/>
    <w:multiLevelType w:val="hybridMultilevel"/>
    <w:tmpl w:val="EEC47AEA"/>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3" w15:restartNumberingAfterBreak="0">
    <w:nsid w:val="7DC42328"/>
    <w:multiLevelType w:val="hybridMultilevel"/>
    <w:tmpl w:val="57C232D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881164974">
    <w:abstractNumId w:val="13"/>
  </w:num>
  <w:num w:numId="2" w16cid:durableId="355733068">
    <w:abstractNumId w:val="12"/>
  </w:num>
  <w:num w:numId="3" w16cid:durableId="231939216">
    <w:abstractNumId w:val="5"/>
  </w:num>
  <w:num w:numId="4" w16cid:durableId="220097079">
    <w:abstractNumId w:val="10"/>
  </w:num>
  <w:num w:numId="5" w16cid:durableId="274989168">
    <w:abstractNumId w:val="2"/>
  </w:num>
  <w:num w:numId="6" w16cid:durableId="517811979">
    <w:abstractNumId w:val="4"/>
  </w:num>
  <w:num w:numId="7" w16cid:durableId="870192569">
    <w:abstractNumId w:val="6"/>
  </w:num>
  <w:num w:numId="8" w16cid:durableId="1975871149">
    <w:abstractNumId w:val="8"/>
  </w:num>
  <w:num w:numId="9" w16cid:durableId="1985573967">
    <w:abstractNumId w:val="11"/>
  </w:num>
  <w:num w:numId="10" w16cid:durableId="1395355403">
    <w:abstractNumId w:val="3"/>
  </w:num>
  <w:num w:numId="11" w16cid:durableId="848561930">
    <w:abstractNumId w:val="7"/>
  </w:num>
  <w:num w:numId="12" w16cid:durableId="1685132674">
    <w:abstractNumId w:val="9"/>
  </w:num>
  <w:num w:numId="13" w16cid:durableId="276449505">
    <w:abstractNumId w:val="0"/>
  </w:num>
  <w:num w:numId="14" w16cid:durableId="5268748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B2"/>
    <w:rsid w:val="00011054"/>
    <w:rsid w:val="00011568"/>
    <w:rsid w:val="00013EE1"/>
    <w:rsid w:val="0002000A"/>
    <w:rsid w:val="0003291F"/>
    <w:rsid w:val="00051324"/>
    <w:rsid w:val="00055B95"/>
    <w:rsid w:val="00065F81"/>
    <w:rsid w:val="00070BCD"/>
    <w:rsid w:val="00071A21"/>
    <w:rsid w:val="00074DB8"/>
    <w:rsid w:val="000A400C"/>
    <w:rsid w:val="000A7296"/>
    <w:rsid w:val="000B0704"/>
    <w:rsid w:val="000B28A3"/>
    <w:rsid w:val="00107EB1"/>
    <w:rsid w:val="00111BF0"/>
    <w:rsid w:val="00117345"/>
    <w:rsid w:val="001216B2"/>
    <w:rsid w:val="001266A8"/>
    <w:rsid w:val="001270BB"/>
    <w:rsid w:val="001306D4"/>
    <w:rsid w:val="00135949"/>
    <w:rsid w:val="00136736"/>
    <w:rsid w:val="00147B9F"/>
    <w:rsid w:val="0015201D"/>
    <w:rsid w:val="00152D7D"/>
    <w:rsid w:val="00153102"/>
    <w:rsid w:val="00162F14"/>
    <w:rsid w:val="00180EEE"/>
    <w:rsid w:val="001827CF"/>
    <w:rsid w:val="00186C4C"/>
    <w:rsid w:val="00195FA0"/>
    <w:rsid w:val="00197F50"/>
    <w:rsid w:val="001A5512"/>
    <w:rsid w:val="001C4836"/>
    <w:rsid w:val="001C6C97"/>
    <w:rsid w:val="001C7B26"/>
    <w:rsid w:val="001E1E76"/>
    <w:rsid w:val="001E6029"/>
    <w:rsid w:val="001F5164"/>
    <w:rsid w:val="001F55C8"/>
    <w:rsid w:val="001F7745"/>
    <w:rsid w:val="00200DC6"/>
    <w:rsid w:val="002228E0"/>
    <w:rsid w:val="002427BD"/>
    <w:rsid w:val="00275C54"/>
    <w:rsid w:val="00275EED"/>
    <w:rsid w:val="002766E6"/>
    <w:rsid w:val="00291DF9"/>
    <w:rsid w:val="00295D2E"/>
    <w:rsid w:val="002A4C31"/>
    <w:rsid w:val="002A741E"/>
    <w:rsid w:val="002B71AD"/>
    <w:rsid w:val="002B7B43"/>
    <w:rsid w:val="002D353B"/>
    <w:rsid w:val="002D42B6"/>
    <w:rsid w:val="002F17C0"/>
    <w:rsid w:val="00305576"/>
    <w:rsid w:val="003109AF"/>
    <w:rsid w:val="00314BFC"/>
    <w:rsid w:val="00343376"/>
    <w:rsid w:val="003445D1"/>
    <w:rsid w:val="0036588F"/>
    <w:rsid w:val="003812CD"/>
    <w:rsid w:val="00383264"/>
    <w:rsid w:val="0038724E"/>
    <w:rsid w:val="0039264A"/>
    <w:rsid w:val="0039343B"/>
    <w:rsid w:val="0039702D"/>
    <w:rsid w:val="003A4204"/>
    <w:rsid w:val="003B6571"/>
    <w:rsid w:val="003C4E07"/>
    <w:rsid w:val="003C684D"/>
    <w:rsid w:val="003D07F7"/>
    <w:rsid w:val="003D0BD7"/>
    <w:rsid w:val="003D292E"/>
    <w:rsid w:val="003D6739"/>
    <w:rsid w:val="003F0835"/>
    <w:rsid w:val="003F1BAB"/>
    <w:rsid w:val="00406B29"/>
    <w:rsid w:val="004117BC"/>
    <w:rsid w:val="00411BCB"/>
    <w:rsid w:val="004448D7"/>
    <w:rsid w:val="00466DB8"/>
    <w:rsid w:val="00471355"/>
    <w:rsid w:val="00471EE4"/>
    <w:rsid w:val="00477732"/>
    <w:rsid w:val="004A5D4D"/>
    <w:rsid w:val="004C7626"/>
    <w:rsid w:val="004D3F1B"/>
    <w:rsid w:val="004D4F31"/>
    <w:rsid w:val="004F6E73"/>
    <w:rsid w:val="0050167F"/>
    <w:rsid w:val="005053F3"/>
    <w:rsid w:val="0050622C"/>
    <w:rsid w:val="0051054D"/>
    <w:rsid w:val="0051406D"/>
    <w:rsid w:val="005160F1"/>
    <w:rsid w:val="00525369"/>
    <w:rsid w:val="00532589"/>
    <w:rsid w:val="0053633D"/>
    <w:rsid w:val="0055405E"/>
    <w:rsid w:val="0056037C"/>
    <w:rsid w:val="00570300"/>
    <w:rsid w:val="005804A8"/>
    <w:rsid w:val="0059035C"/>
    <w:rsid w:val="005A1B51"/>
    <w:rsid w:val="005A59FB"/>
    <w:rsid w:val="005A6DD3"/>
    <w:rsid w:val="005B1CD2"/>
    <w:rsid w:val="005B52D3"/>
    <w:rsid w:val="005B56A0"/>
    <w:rsid w:val="005C1860"/>
    <w:rsid w:val="005D48B9"/>
    <w:rsid w:val="005D56A0"/>
    <w:rsid w:val="005E51B5"/>
    <w:rsid w:val="005F1C63"/>
    <w:rsid w:val="00604400"/>
    <w:rsid w:val="00616FEB"/>
    <w:rsid w:val="00637A74"/>
    <w:rsid w:val="006512C1"/>
    <w:rsid w:val="00652BD0"/>
    <w:rsid w:val="006535F4"/>
    <w:rsid w:val="00662C9A"/>
    <w:rsid w:val="00672A94"/>
    <w:rsid w:val="00684EA7"/>
    <w:rsid w:val="006B271F"/>
    <w:rsid w:val="006C6802"/>
    <w:rsid w:val="006D3D3C"/>
    <w:rsid w:val="006D3F3E"/>
    <w:rsid w:val="006E51D2"/>
    <w:rsid w:val="006F331B"/>
    <w:rsid w:val="00723A4A"/>
    <w:rsid w:val="00724957"/>
    <w:rsid w:val="00742E1C"/>
    <w:rsid w:val="00751F64"/>
    <w:rsid w:val="00755679"/>
    <w:rsid w:val="007604FD"/>
    <w:rsid w:val="00761842"/>
    <w:rsid w:val="007871DE"/>
    <w:rsid w:val="00793341"/>
    <w:rsid w:val="00793FF6"/>
    <w:rsid w:val="007942F8"/>
    <w:rsid w:val="007A72CA"/>
    <w:rsid w:val="007C7E61"/>
    <w:rsid w:val="007E1CCD"/>
    <w:rsid w:val="007E3EDA"/>
    <w:rsid w:val="007F02C6"/>
    <w:rsid w:val="00811D0F"/>
    <w:rsid w:val="00822A95"/>
    <w:rsid w:val="00823F2D"/>
    <w:rsid w:val="008241A0"/>
    <w:rsid w:val="00826114"/>
    <w:rsid w:val="00840064"/>
    <w:rsid w:val="00843616"/>
    <w:rsid w:val="008567E1"/>
    <w:rsid w:val="008664E8"/>
    <w:rsid w:val="00873A58"/>
    <w:rsid w:val="00876699"/>
    <w:rsid w:val="00884F52"/>
    <w:rsid w:val="00887AD1"/>
    <w:rsid w:val="0089023A"/>
    <w:rsid w:val="008938E1"/>
    <w:rsid w:val="008A13BA"/>
    <w:rsid w:val="008A164E"/>
    <w:rsid w:val="008A2315"/>
    <w:rsid w:val="008A7BF2"/>
    <w:rsid w:val="008B1886"/>
    <w:rsid w:val="008B68BD"/>
    <w:rsid w:val="008C5318"/>
    <w:rsid w:val="008F57CB"/>
    <w:rsid w:val="009013CD"/>
    <w:rsid w:val="00945007"/>
    <w:rsid w:val="009707AF"/>
    <w:rsid w:val="00974663"/>
    <w:rsid w:val="009855E0"/>
    <w:rsid w:val="00992843"/>
    <w:rsid w:val="0099723E"/>
    <w:rsid w:val="009A7FD4"/>
    <w:rsid w:val="009B0B0F"/>
    <w:rsid w:val="009B2FED"/>
    <w:rsid w:val="009D4268"/>
    <w:rsid w:val="009D6E9F"/>
    <w:rsid w:val="009E0D13"/>
    <w:rsid w:val="009E46EC"/>
    <w:rsid w:val="009F1A59"/>
    <w:rsid w:val="009F459E"/>
    <w:rsid w:val="009F49AA"/>
    <w:rsid w:val="009F55AA"/>
    <w:rsid w:val="009F59BF"/>
    <w:rsid w:val="00A0230C"/>
    <w:rsid w:val="00A14A45"/>
    <w:rsid w:val="00A201E5"/>
    <w:rsid w:val="00A40AD9"/>
    <w:rsid w:val="00A56915"/>
    <w:rsid w:val="00A61857"/>
    <w:rsid w:val="00A819F7"/>
    <w:rsid w:val="00A87E4F"/>
    <w:rsid w:val="00A9595C"/>
    <w:rsid w:val="00A96C61"/>
    <w:rsid w:val="00AA3A88"/>
    <w:rsid w:val="00AB0963"/>
    <w:rsid w:val="00AB72C1"/>
    <w:rsid w:val="00AC10C4"/>
    <w:rsid w:val="00AE3C7A"/>
    <w:rsid w:val="00AE4B71"/>
    <w:rsid w:val="00AE617A"/>
    <w:rsid w:val="00AF0A11"/>
    <w:rsid w:val="00AF2438"/>
    <w:rsid w:val="00AF342C"/>
    <w:rsid w:val="00AF3CC9"/>
    <w:rsid w:val="00AF57E4"/>
    <w:rsid w:val="00AF670D"/>
    <w:rsid w:val="00AF73C7"/>
    <w:rsid w:val="00AF7664"/>
    <w:rsid w:val="00B0234C"/>
    <w:rsid w:val="00B052CB"/>
    <w:rsid w:val="00B2429E"/>
    <w:rsid w:val="00B35AFB"/>
    <w:rsid w:val="00B55012"/>
    <w:rsid w:val="00B56DB5"/>
    <w:rsid w:val="00B57542"/>
    <w:rsid w:val="00B66F97"/>
    <w:rsid w:val="00B724A0"/>
    <w:rsid w:val="00B87A10"/>
    <w:rsid w:val="00B96346"/>
    <w:rsid w:val="00BA0B55"/>
    <w:rsid w:val="00BA12EA"/>
    <w:rsid w:val="00BA3A6F"/>
    <w:rsid w:val="00BB4B6A"/>
    <w:rsid w:val="00BC20BA"/>
    <w:rsid w:val="00BF026B"/>
    <w:rsid w:val="00C133BA"/>
    <w:rsid w:val="00C13487"/>
    <w:rsid w:val="00C1546E"/>
    <w:rsid w:val="00C22ADB"/>
    <w:rsid w:val="00C24383"/>
    <w:rsid w:val="00C31B3D"/>
    <w:rsid w:val="00C44B2A"/>
    <w:rsid w:val="00C5498E"/>
    <w:rsid w:val="00C54C5B"/>
    <w:rsid w:val="00C55BCB"/>
    <w:rsid w:val="00C66851"/>
    <w:rsid w:val="00C745B8"/>
    <w:rsid w:val="00C929A5"/>
    <w:rsid w:val="00C94BBB"/>
    <w:rsid w:val="00C971B5"/>
    <w:rsid w:val="00CB7228"/>
    <w:rsid w:val="00CC2238"/>
    <w:rsid w:val="00CE180A"/>
    <w:rsid w:val="00CE7806"/>
    <w:rsid w:val="00D058F7"/>
    <w:rsid w:val="00D22FE6"/>
    <w:rsid w:val="00D32B03"/>
    <w:rsid w:val="00D33354"/>
    <w:rsid w:val="00D3708D"/>
    <w:rsid w:val="00D46282"/>
    <w:rsid w:val="00D63316"/>
    <w:rsid w:val="00D71F99"/>
    <w:rsid w:val="00D91597"/>
    <w:rsid w:val="00D94FD7"/>
    <w:rsid w:val="00D96DA3"/>
    <w:rsid w:val="00D97150"/>
    <w:rsid w:val="00D97870"/>
    <w:rsid w:val="00DA0D32"/>
    <w:rsid w:val="00DA2DB4"/>
    <w:rsid w:val="00DB24BB"/>
    <w:rsid w:val="00DB7310"/>
    <w:rsid w:val="00DE75BA"/>
    <w:rsid w:val="00E2433F"/>
    <w:rsid w:val="00E32142"/>
    <w:rsid w:val="00E4362A"/>
    <w:rsid w:val="00E4643D"/>
    <w:rsid w:val="00E53539"/>
    <w:rsid w:val="00E56268"/>
    <w:rsid w:val="00E731B4"/>
    <w:rsid w:val="00E81DA6"/>
    <w:rsid w:val="00E82099"/>
    <w:rsid w:val="00E84814"/>
    <w:rsid w:val="00EA2798"/>
    <w:rsid w:val="00EA2F34"/>
    <w:rsid w:val="00EA640B"/>
    <w:rsid w:val="00EA72FD"/>
    <w:rsid w:val="00EB3536"/>
    <w:rsid w:val="00ED1451"/>
    <w:rsid w:val="00ED6E32"/>
    <w:rsid w:val="00EE03F8"/>
    <w:rsid w:val="00EE12CF"/>
    <w:rsid w:val="00EE53D1"/>
    <w:rsid w:val="00EF2B6B"/>
    <w:rsid w:val="00EF6A7F"/>
    <w:rsid w:val="00F008CD"/>
    <w:rsid w:val="00F042ED"/>
    <w:rsid w:val="00F06D57"/>
    <w:rsid w:val="00F10472"/>
    <w:rsid w:val="00F1625B"/>
    <w:rsid w:val="00F23F1F"/>
    <w:rsid w:val="00F4081A"/>
    <w:rsid w:val="00F541B3"/>
    <w:rsid w:val="00F67499"/>
    <w:rsid w:val="00F7186E"/>
    <w:rsid w:val="00F92E6B"/>
    <w:rsid w:val="00FA2F4B"/>
    <w:rsid w:val="00FA7F8F"/>
    <w:rsid w:val="00FB351C"/>
    <w:rsid w:val="00FB4BD8"/>
    <w:rsid w:val="00FB5093"/>
    <w:rsid w:val="00FC17EC"/>
    <w:rsid w:val="00FD4E77"/>
    <w:rsid w:val="00FD6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5A36"/>
  <w15:chartTrackingRefBased/>
  <w15:docId w15:val="{D2640E0D-03D0-419A-8ECC-ED775243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6B"/>
    <w:pPr>
      <w:spacing w:after="200" w:line="276" w:lineRule="auto"/>
    </w:pPr>
    <w:rPr>
      <w:rFonts w:ascii="Calibri" w:eastAsia="Calibri"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0064"/>
    <w:pPr>
      <w:tabs>
        <w:tab w:val="center" w:pos="4536"/>
        <w:tab w:val="right" w:pos="9072"/>
      </w:tabs>
      <w:spacing w:after="0" w:line="240" w:lineRule="auto"/>
    </w:pPr>
  </w:style>
  <w:style w:type="character" w:customStyle="1" w:styleId="En-tteCar">
    <w:name w:val="En-tête Car"/>
    <w:basedOn w:val="Policepardfaut"/>
    <w:link w:val="En-tte"/>
    <w:uiPriority w:val="99"/>
    <w:rsid w:val="00840064"/>
  </w:style>
  <w:style w:type="paragraph" w:styleId="Pieddepage">
    <w:name w:val="footer"/>
    <w:basedOn w:val="Normal"/>
    <w:link w:val="PieddepageCar"/>
    <w:uiPriority w:val="99"/>
    <w:unhideWhenUsed/>
    <w:rsid w:val="008400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064"/>
  </w:style>
  <w:style w:type="paragraph" w:styleId="Textedebulles">
    <w:name w:val="Balloon Text"/>
    <w:basedOn w:val="Normal"/>
    <w:link w:val="TextedebullesCar"/>
    <w:uiPriority w:val="99"/>
    <w:semiHidden/>
    <w:unhideWhenUsed/>
    <w:rsid w:val="00200D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DC6"/>
    <w:rPr>
      <w:rFonts w:ascii="Segoe UI" w:hAnsi="Segoe UI" w:cs="Segoe UI"/>
      <w:sz w:val="18"/>
      <w:szCs w:val="18"/>
    </w:rPr>
  </w:style>
  <w:style w:type="character" w:styleId="Lienhypertexte">
    <w:name w:val="Hyperlink"/>
    <w:uiPriority w:val="99"/>
    <w:unhideWhenUsed/>
    <w:rsid w:val="009F59BF"/>
    <w:rPr>
      <w:color w:val="0563C1"/>
      <w:u w:val="single"/>
    </w:rPr>
  </w:style>
  <w:style w:type="paragraph" w:styleId="Paragraphedeliste">
    <w:name w:val="List Paragraph"/>
    <w:basedOn w:val="Normal"/>
    <w:uiPriority w:val="34"/>
    <w:qFormat/>
    <w:rsid w:val="00A9595C"/>
    <w:pPr>
      <w:ind w:left="720"/>
      <w:contextualSpacing/>
    </w:pPr>
  </w:style>
  <w:style w:type="paragraph" w:customStyle="1" w:styleId="Default">
    <w:name w:val="Default"/>
    <w:rsid w:val="00BF026B"/>
    <w:pPr>
      <w:widowControl w:val="0"/>
      <w:autoSpaceDE w:val="0"/>
      <w:autoSpaceDN w:val="0"/>
      <w:adjustRightInd w:val="0"/>
      <w:spacing w:after="0" w:line="240" w:lineRule="auto"/>
    </w:pPr>
    <w:rPr>
      <w:rFonts w:ascii="Century Gothic" w:eastAsiaTheme="minorEastAsia" w:hAnsi="Century Gothic" w:cs="Century Gothic"/>
      <w:color w:val="000000"/>
      <w:sz w:val="24"/>
      <w:szCs w:val="24"/>
      <w:lang w:eastAsia="fr-FR"/>
    </w:rPr>
  </w:style>
  <w:style w:type="paragraph" w:styleId="NormalWeb">
    <w:name w:val="Normal (Web)"/>
    <w:basedOn w:val="Normal"/>
    <w:uiPriority w:val="99"/>
    <w:unhideWhenUsed/>
    <w:rsid w:val="00570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cunstyle">
    <w:name w:val="[Aucun style]"/>
    <w:rsid w:val="003B6571"/>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Paragraphestandard">
    <w:name w:val="[Paragraphe standard]"/>
    <w:basedOn w:val="Aucunstyle"/>
    <w:uiPriority w:val="99"/>
    <w:rsid w:val="003B6571"/>
  </w:style>
  <w:style w:type="paragraph" w:styleId="Titre">
    <w:name w:val="Title"/>
    <w:basedOn w:val="Normal"/>
    <w:next w:val="Normal"/>
    <w:link w:val="TitreCar"/>
    <w:qFormat/>
    <w:rsid w:val="00AF2438"/>
    <w:pPr>
      <w:spacing w:before="240" w:after="60" w:line="24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basedOn w:val="Policepardfaut"/>
    <w:link w:val="Titre"/>
    <w:rsid w:val="00AF2438"/>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165">
      <w:bodyDiv w:val="1"/>
      <w:marLeft w:val="0"/>
      <w:marRight w:val="0"/>
      <w:marTop w:val="0"/>
      <w:marBottom w:val="0"/>
      <w:divBdr>
        <w:top w:val="none" w:sz="0" w:space="0" w:color="auto"/>
        <w:left w:val="none" w:sz="0" w:space="0" w:color="auto"/>
        <w:bottom w:val="none" w:sz="0" w:space="0" w:color="auto"/>
        <w:right w:val="none" w:sz="0" w:space="0" w:color="auto"/>
      </w:divBdr>
    </w:div>
    <w:div w:id="179247452">
      <w:bodyDiv w:val="1"/>
      <w:marLeft w:val="0"/>
      <w:marRight w:val="0"/>
      <w:marTop w:val="0"/>
      <w:marBottom w:val="0"/>
      <w:divBdr>
        <w:top w:val="none" w:sz="0" w:space="0" w:color="auto"/>
        <w:left w:val="none" w:sz="0" w:space="0" w:color="auto"/>
        <w:bottom w:val="none" w:sz="0" w:space="0" w:color="auto"/>
        <w:right w:val="none" w:sz="0" w:space="0" w:color="auto"/>
      </w:divBdr>
    </w:div>
    <w:div w:id="275601045">
      <w:bodyDiv w:val="1"/>
      <w:marLeft w:val="0"/>
      <w:marRight w:val="0"/>
      <w:marTop w:val="0"/>
      <w:marBottom w:val="0"/>
      <w:divBdr>
        <w:top w:val="none" w:sz="0" w:space="0" w:color="auto"/>
        <w:left w:val="none" w:sz="0" w:space="0" w:color="auto"/>
        <w:bottom w:val="none" w:sz="0" w:space="0" w:color="auto"/>
        <w:right w:val="none" w:sz="0" w:space="0" w:color="auto"/>
      </w:divBdr>
    </w:div>
    <w:div w:id="375859957">
      <w:bodyDiv w:val="1"/>
      <w:marLeft w:val="0"/>
      <w:marRight w:val="0"/>
      <w:marTop w:val="0"/>
      <w:marBottom w:val="0"/>
      <w:divBdr>
        <w:top w:val="none" w:sz="0" w:space="0" w:color="auto"/>
        <w:left w:val="none" w:sz="0" w:space="0" w:color="auto"/>
        <w:bottom w:val="none" w:sz="0" w:space="0" w:color="auto"/>
        <w:right w:val="none" w:sz="0" w:space="0" w:color="auto"/>
      </w:divBdr>
    </w:div>
    <w:div w:id="436948257">
      <w:bodyDiv w:val="1"/>
      <w:marLeft w:val="0"/>
      <w:marRight w:val="0"/>
      <w:marTop w:val="0"/>
      <w:marBottom w:val="0"/>
      <w:divBdr>
        <w:top w:val="none" w:sz="0" w:space="0" w:color="auto"/>
        <w:left w:val="none" w:sz="0" w:space="0" w:color="auto"/>
        <w:bottom w:val="none" w:sz="0" w:space="0" w:color="auto"/>
        <w:right w:val="none" w:sz="0" w:space="0" w:color="auto"/>
      </w:divBdr>
    </w:div>
    <w:div w:id="495078753">
      <w:bodyDiv w:val="1"/>
      <w:marLeft w:val="0"/>
      <w:marRight w:val="0"/>
      <w:marTop w:val="0"/>
      <w:marBottom w:val="0"/>
      <w:divBdr>
        <w:top w:val="none" w:sz="0" w:space="0" w:color="auto"/>
        <w:left w:val="none" w:sz="0" w:space="0" w:color="auto"/>
        <w:bottom w:val="none" w:sz="0" w:space="0" w:color="auto"/>
        <w:right w:val="none" w:sz="0" w:space="0" w:color="auto"/>
      </w:divBdr>
    </w:div>
    <w:div w:id="641810720">
      <w:bodyDiv w:val="1"/>
      <w:marLeft w:val="0"/>
      <w:marRight w:val="0"/>
      <w:marTop w:val="0"/>
      <w:marBottom w:val="0"/>
      <w:divBdr>
        <w:top w:val="none" w:sz="0" w:space="0" w:color="auto"/>
        <w:left w:val="none" w:sz="0" w:space="0" w:color="auto"/>
        <w:bottom w:val="none" w:sz="0" w:space="0" w:color="auto"/>
        <w:right w:val="none" w:sz="0" w:space="0" w:color="auto"/>
      </w:divBdr>
    </w:div>
    <w:div w:id="651256390">
      <w:bodyDiv w:val="1"/>
      <w:marLeft w:val="0"/>
      <w:marRight w:val="0"/>
      <w:marTop w:val="0"/>
      <w:marBottom w:val="0"/>
      <w:divBdr>
        <w:top w:val="none" w:sz="0" w:space="0" w:color="auto"/>
        <w:left w:val="none" w:sz="0" w:space="0" w:color="auto"/>
        <w:bottom w:val="none" w:sz="0" w:space="0" w:color="auto"/>
        <w:right w:val="none" w:sz="0" w:space="0" w:color="auto"/>
      </w:divBdr>
    </w:div>
    <w:div w:id="813765059">
      <w:bodyDiv w:val="1"/>
      <w:marLeft w:val="0"/>
      <w:marRight w:val="0"/>
      <w:marTop w:val="0"/>
      <w:marBottom w:val="0"/>
      <w:divBdr>
        <w:top w:val="none" w:sz="0" w:space="0" w:color="auto"/>
        <w:left w:val="none" w:sz="0" w:space="0" w:color="auto"/>
        <w:bottom w:val="none" w:sz="0" w:space="0" w:color="auto"/>
        <w:right w:val="none" w:sz="0" w:space="0" w:color="auto"/>
      </w:divBdr>
    </w:div>
    <w:div w:id="832186088">
      <w:bodyDiv w:val="1"/>
      <w:marLeft w:val="0"/>
      <w:marRight w:val="0"/>
      <w:marTop w:val="0"/>
      <w:marBottom w:val="0"/>
      <w:divBdr>
        <w:top w:val="none" w:sz="0" w:space="0" w:color="auto"/>
        <w:left w:val="none" w:sz="0" w:space="0" w:color="auto"/>
        <w:bottom w:val="none" w:sz="0" w:space="0" w:color="auto"/>
        <w:right w:val="none" w:sz="0" w:space="0" w:color="auto"/>
      </w:divBdr>
    </w:div>
    <w:div w:id="974408540">
      <w:bodyDiv w:val="1"/>
      <w:marLeft w:val="0"/>
      <w:marRight w:val="0"/>
      <w:marTop w:val="0"/>
      <w:marBottom w:val="0"/>
      <w:divBdr>
        <w:top w:val="none" w:sz="0" w:space="0" w:color="auto"/>
        <w:left w:val="none" w:sz="0" w:space="0" w:color="auto"/>
        <w:bottom w:val="none" w:sz="0" w:space="0" w:color="auto"/>
        <w:right w:val="none" w:sz="0" w:space="0" w:color="auto"/>
      </w:divBdr>
    </w:div>
    <w:div w:id="1136024581">
      <w:bodyDiv w:val="1"/>
      <w:marLeft w:val="0"/>
      <w:marRight w:val="0"/>
      <w:marTop w:val="0"/>
      <w:marBottom w:val="0"/>
      <w:divBdr>
        <w:top w:val="none" w:sz="0" w:space="0" w:color="auto"/>
        <w:left w:val="none" w:sz="0" w:space="0" w:color="auto"/>
        <w:bottom w:val="none" w:sz="0" w:space="0" w:color="auto"/>
        <w:right w:val="none" w:sz="0" w:space="0" w:color="auto"/>
      </w:divBdr>
    </w:div>
    <w:div w:id="1538660901">
      <w:bodyDiv w:val="1"/>
      <w:marLeft w:val="0"/>
      <w:marRight w:val="0"/>
      <w:marTop w:val="0"/>
      <w:marBottom w:val="0"/>
      <w:divBdr>
        <w:top w:val="none" w:sz="0" w:space="0" w:color="auto"/>
        <w:left w:val="none" w:sz="0" w:space="0" w:color="auto"/>
        <w:bottom w:val="none" w:sz="0" w:space="0" w:color="auto"/>
        <w:right w:val="none" w:sz="0" w:space="0" w:color="auto"/>
      </w:divBdr>
    </w:div>
    <w:div w:id="1569607109">
      <w:bodyDiv w:val="1"/>
      <w:marLeft w:val="0"/>
      <w:marRight w:val="0"/>
      <w:marTop w:val="0"/>
      <w:marBottom w:val="0"/>
      <w:divBdr>
        <w:top w:val="none" w:sz="0" w:space="0" w:color="auto"/>
        <w:left w:val="none" w:sz="0" w:space="0" w:color="auto"/>
        <w:bottom w:val="none" w:sz="0" w:space="0" w:color="auto"/>
        <w:right w:val="none" w:sz="0" w:space="0" w:color="auto"/>
      </w:divBdr>
    </w:div>
    <w:div w:id="1634869896">
      <w:bodyDiv w:val="1"/>
      <w:marLeft w:val="0"/>
      <w:marRight w:val="0"/>
      <w:marTop w:val="0"/>
      <w:marBottom w:val="0"/>
      <w:divBdr>
        <w:top w:val="none" w:sz="0" w:space="0" w:color="auto"/>
        <w:left w:val="none" w:sz="0" w:space="0" w:color="auto"/>
        <w:bottom w:val="none" w:sz="0" w:space="0" w:color="auto"/>
        <w:right w:val="none" w:sz="0" w:space="0" w:color="auto"/>
      </w:divBdr>
    </w:div>
    <w:div w:id="1727679592">
      <w:bodyDiv w:val="1"/>
      <w:marLeft w:val="0"/>
      <w:marRight w:val="0"/>
      <w:marTop w:val="0"/>
      <w:marBottom w:val="0"/>
      <w:divBdr>
        <w:top w:val="none" w:sz="0" w:space="0" w:color="auto"/>
        <w:left w:val="none" w:sz="0" w:space="0" w:color="auto"/>
        <w:bottom w:val="none" w:sz="0" w:space="0" w:color="auto"/>
        <w:right w:val="none" w:sz="0" w:space="0" w:color="auto"/>
      </w:divBdr>
    </w:div>
    <w:div w:id="18264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setud@cgt.fr" TargetMode="External"/><Relationship Id="rId1" Type="http://schemas.openxmlformats.org/officeDocument/2006/relationships/hyperlink" Target="mailto:fsetud@cgt.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deles\2023_BI_En_robe_si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39E6-8A1F-480A-AB19-0013732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2023_BI_En_robe_site</Template>
  <TotalTime>20</TotalTime>
  <Pages>1</Pages>
  <Words>379</Words>
  <Characters>2164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FSETUDE7</dc:creator>
  <cp:keywords/>
  <dc:description/>
  <cp:lastModifiedBy>celine vicaine</cp:lastModifiedBy>
  <cp:revision>3</cp:revision>
  <cp:lastPrinted>2020-02-27T16:26:00Z</cp:lastPrinted>
  <dcterms:created xsi:type="dcterms:W3CDTF">2026-07-16T15:25:00Z</dcterms:created>
  <dcterms:modified xsi:type="dcterms:W3CDTF">2026-07-16T15:45:00Z</dcterms:modified>
</cp:coreProperties>
</file>